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E3" w:rsidRPr="00A615E3" w:rsidRDefault="00A615E3" w:rsidP="00A615E3">
      <w:pPr>
        <w:ind w:firstLine="567"/>
        <w:jc w:val="right"/>
        <w:rPr>
          <w:rFonts w:ascii="Arial" w:hAnsi="Arial" w:cs="Arial"/>
        </w:rPr>
      </w:pPr>
      <w:bookmarkStart w:id="0" w:name="_Hlk73006285"/>
      <w:r w:rsidRPr="00A615E3">
        <w:rPr>
          <w:rFonts w:ascii="Arial" w:hAnsi="Arial" w:cs="Arial"/>
        </w:rPr>
        <w:t>Обнародовано в сетевом издании – сайте</w:t>
      </w:r>
    </w:p>
    <w:p w:rsidR="00A615E3" w:rsidRPr="00A615E3" w:rsidRDefault="00A615E3" w:rsidP="00A615E3">
      <w:pPr>
        <w:ind w:firstLine="567"/>
        <w:jc w:val="right"/>
        <w:rPr>
          <w:rFonts w:ascii="Arial" w:hAnsi="Arial" w:cs="Arial"/>
        </w:rPr>
      </w:pPr>
      <w:r w:rsidRPr="00A615E3">
        <w:rPr>
          <w:rFonts w:ascii="Arial" w:hAnsi="Arial" w:cs="Arial"/>
        </w:rPr>
        <w:t xml:space="preserve">муниципальных правовых актов </w:t>
      </w:r>
    </w:p>
    <w:p w:rsidR="00A615E3" w:rsidRPr="00A615E3" w:rsidRDefault="00A615E3" w:rsidP="00A615E3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  <w:r w:rsidRPr="00A615E3">
        <w:rPr>
          <w:rFonts w:ascii="Arial" w:hAnsi="Arial" w:cs="Arial"/>
        </w:rPr>
        <w:t xml:space="preserve">Советского муниципального </w:t>
      </w:r>
    </w:p>
    <w:p w:rsidR="00A615E3" w:rsidRPr="00A615E3" w:rsidRDefault="00A615E3" w:rsidP="00A615E3">
      <w:pPr>
        <w:ind w:firstLine="567"/>
        <w:jc w:val="right"/>
        <w:rPr>
          <w:rFonts w:ascii="Arial" w:hAnsi="Arial" w:cs="Arial"/>
        </w:rPr>
      </w:pPr>
      <w:r w:rsidRPr="00A615E3">
        <w:rPr>
          <w:rFonts w:ascii="Arial" w:hAnsi="Arial" w:cs="Arial"/>
        </w:rPr>
        <w:t xml:space="preserve"> округа Ставропольского края </w:t>
      </w:r>
    </w:p>
    <w:p w:rsidR="00A615E3" w:rsidRPr="00A615E3" w:rsidRDefault="00A615E3" w:rsidP="00A615E3">
      <w:pPr>
        <w:ind w:firstLine="567"/>
        <w:jc w:val="right"/>
        <w:rPr>
          <w:rFonts w:ascii="Arial" w:hAnsi="Arial" w:cs="Arial"/>
        </w:rPr>
      </w:pPr>
      <w:r w:rsidRPr="00A615E3">
        <w:rPr>
          <w:rFonts w:ascii="Arial" w:hAnsi="Arial" w:cs="Arial"/>
        </w:rPr>
        <w:t>26.03.2024 г.</w:t>
      </w:r>
    </w:p>
    <w:p w:rsidR="00A615E3" w:rsidRPr="0087189E" w:rsidRDefault="00A615E3" w:rsidP="0008390B">
      <w:pPr>
        <w:ind w:firstLine="567"/>
        <w:jc w:val="center"/>
        <w:rPr>
          <w:rFonts w:ascii="Arial" w:hAnsi="Arial" w:cs="Arial"/>
          <w:b/>
        </w:rPr>
      </w:pPr>
    </w:p>
    <w:p w:rsidR="007143AB" w:rsidRDefault="0008390B" w:rsidP="0008390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143AB" w:rsidRPr="0008390B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08390B" w:rsidRPr="0008390B" w:rsidRDefault="0008390B" w:rsidP="0008390B">
      <w:pPr>
        <w:ind w:firstLine="567"/>
        <w:jc w:val="center"/>
        <w:rPr>
          <w:rFonts w:ascii="Arial" w:hAnsi="Arial" w:cs="Arial"/>
          <w:b/>
        </w:rPr>
      </w:pPr>
    </w:p>
    <w:p w:rsidR="0008390B" w:rsidRPr="0008390B" w:rsidRDefault="0008390B" w:rsidP="0008390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8390B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8390B" w:rsidRPr="0008390B" w:rsidRDefault="0008390B" w:rsidP="0008390B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8390B">
        <w:rPr>
          <w:rFonts w:ascii="Arial" w:hAnsi="Arial" w:cs="Arial"/>
          <w:b/>
          <w:sz w:val="32"/>
          <w:szCs w:val="32"/>
        </w:rPr>
        <w:t>от 26 марта 2024 г.№ 330</w:t>
      </w:r>
    </w:p>
    <w:p w:rsidR="00A12D62" w:rsidRPr="0008390B" w:rsidRDefault="00A12D62" w:rsidP="0008390B">
      <w:pPr>
        <w:ind w:firstLine="567"/>
        <w:jc w:val="center"/>
        <w:rPr>
          <w:rFonts w:ascii="Arial" w:hAnsi="Arial" w:cs="Arial"/>
          <w:b/>
        </w:rPr>
      </w:pPr>
    </w:p>
    <w:p w:rsidR="003935A8" w:rsidRPr="0008390B" w:rsidRDefault="0008390B" w:rsidP="0008390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8390B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</w:p>
    <w:p w:rsidR="00A12D62" w:rsidRPr="00436A6B" w:rsidRDefault="00A12D62" w:rsidP="00436A6B">
      <w:pPr>
        <w:ind w:firstLine="567"/>
        <w:jc w:val="both"/>
        <w:rPr>
          <w:rFonts w:ascii="Arial" w:hAnsi="Arial" w:cs="Arial"/>
        </w:rPr>
      </w:pPr>
    </w:p>
    <w:p w:rsidR="003935A8" w:rsidRPr="00436A6B" w:rsidRDefault="008D408C" w:rsidP="00436A6B">
      <w:pPr>
        <w:ind w:firstLine="567"/>
        <w:jc w:val="both"/>
        <w:rPr>
          <w:rFonts w:ascii="Arial" w:hAnsi="Arial" w:cs="Arial"/>
        </w:rPr>
      </w:pPr>
      <w:proofErr w:type="gramStart"/>
      <w:r w:rsidRPr="00436A6B">
        <w:rPr>
          <w:rFonts w:ascii="Arial" w:hAnsi="Arial" w:cs="Arial"/>
        </w:rPr>
        <w:t>Руководствуясь постановлением П</w:t>
      </w:r>
      <w:r w:rsidR="001A0551" w:rsidRPr="00436A6B">
        <w:rPr>
          <w:rFonts w:ascii="Arial" w:hAnsi="Arial" w:cs="Arial"/>
        </w:rPr>
        <w:t>равительства Ставропольского края от 28 декабря 2023 г. № 821-п «Об утверждении государственной программы Ставропольского края «</w:t>
      </w:r>
      <w:r w:rsidRPr="00436A6B">
        <w:rPr>
          <w:rFonts w:ascii="Arial" w:hAnsi="Arial" w:cs="Arial"/>
        </w:rPr>
        <w:t>Развитие транспортной системы», приказом</w:t>
      </w:r>
      <w:r w:rsidR="001A0551" w:rsidRPr="00436A6B">
        <w:rPr>
          <w:rFonts w:ascii="Arial" w:hAnsi="Arial" w:cs="Arial"/>
        </w:rPr>
        <w:t xml:space="preserve"> мин</w:t>
      </w:r>
      <w:r w:rsidR="00F349D0" w:rsidRPr="00436A6B">
        <w:rPr>
          <w:rFonts w:ascii="Arial" w:hAnsi="Arial" w:cs="Arial"/>
        </w:rPr>
        <w:t>истерства</w:t>
      </w:r>
      <w:r w:rsidR="001A0551" w:rsidRPr="00436A6B">
        <w:rPr>
          <w:rFonts w:ascii="Arial" w:hAnsi="Arial" w:cs="Arial"/>
        </w:rPr>
        <w:t xml:space="preserve"> дорожного </w:t>
      </w:r>
      <w:r w:rsidR="00F349D0" w:rsidRPr="00436A6B">
        <w:rPr>
          <w:rFonts w:ascii="Arial" w:hAnsi="Arial" w:cs="Arial"/>
        </w:rPr>
        <w:t>хозяйства и транспорта Ставропольского края от</w:t>
      </w:r>
      <w:r w:rsidR="00CC7750" w:rsidRPr="00436A6B">
        <w:rPr>
          <w:rFonts w:ascii="Arial" w:hAnsi="Arial" w:cs="Arial"/>
        </w:rPr>
        <w:t xml:space="preserve"> </w:t>
      </w:r>
      <w:r w:rsidR="00F349D0" w:rsidRPr="00436A6B">
        <w:rPr>
          <w:rFonts w:ascii="Arial" w:hAnsi="Arial" w:cs="Arial"/>
        </w:rPr>
        <w:t xml:space="preserve">26 января 2024 г. </w:t>
      </w:r>
      <w:r w:rsidRPr="00436A6B">
        <w:rPr>
          <w:rFonts w:ascii="Arial" w:hAnsi="Arial" w:cs="Arial"/>
        </w:rPr>
        <w:t xml:space="preserve">№ </w:t>
      </w:r>
      <w:r w:rsidR="00F349D0" w:rsidRPr="00436A6B">
        <w:rPr>
          <w:rFonts w:ascii="Arial" w:hAnsi="Arial" w:cs="Arial"/>
        </w:rPr>
        <w:t>25-о/д «О 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</w:t>
      </w:r>
      <w:proofErr w:type="gramEnd"/>
      <w:r w:rsidR="00F349D0" w:rsidRPr="00436A6B">
        <w:rPr>
          <w:rFonts w:ascii="Arial" w:hAnsi="Arial" w:cs="Arial"/>
        </w:rPr>
        <w:t xml:space="preserve"> </w:t>
      </w:r>
      <w:proofErr w:type="gramStart"/>
      <w:r w:rsidR="00F349D0" w:rsidRPr="00436A6B">
        <w:rPr>
          <w:rFonts w:ascii="Arial" w:hAnsi="Arial" w:cs="Arial"/>
        </w:rPr>
        <w:t xml:space="preserve">края на </w:t>
      </w:r>
      <w:proofErr w:type="spellStart"/>
      <w:r w:rsidR="00F349D0" w:rsidRPr="00436A6B">
        <w:rPr>
          <w:rFonts w:ascii="Arial" w:hAnsi="Arial" w:cs="Arial"/>
        </w:rPr>
        <w:t>софинансирование</w:t>
      </w:r>
      <w:proofErr w:type="spellEnd"/>
      <w:r w:rsidR="00F349D0" w:rsidRPr="00436A6B">
        <w:rPr>
          <w:rFonts w:ascii="Arial" w:hAnsi="Arial" w:cs="Arial"/>
        </w:rPr>
        <w:t xml:space="preserve"> мероприятий по дорожной деятельности</w:t>
      </w:r>
      <w:r w:rsidRPr="00436A6B">
        <w:rPr>
          <w:rFonts w:ascii="Arial" w:hAnsi="Arial" w:cs="Arial"/>
        </w:rPr>
        <w:t>»</w:t>
      </w:r>
      <w:r w:rsidR="00F349D0" w:rsidRPr="00436A6B">
        <w:rPr>
          <w:rFonts w:ascii="Arial" w:hAnsi="Arial" w:cs="Arial"/>
        </w:rPr>
        <w:t xml:space="preserve">, </w:t>
      </w:r>
      <w:r w:rsidR="003935A8" w:rsidRPr="00436A6B">
        <w:rPr>
          <w:rFonts w:ascii="Arial" w:hAnsi="Arial" w:cs="Arial"/>
        </w:rPr>
        <w:t>постановлениями администрации Советского городского округа Ставропольского края от 28 декабря 2017 года</w:t>
      </w:r>
      <w:r w:rsidR="00CC7750" w:rsidRPr="00436A6B">
        <w:rPr>
          <w:rFonts w:ascii="Arial" w:hAnsi="Arial" w:cs="Arial"/>
        </w:rPr>
        <w:t xml:space="preserve"> </w:t>
      </w:r>
      <w:r w:rsidR="003935A8" w:rsidRPr="00436A6B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</w:t>
      </w:r>
      <w:proofErr w:type="gramEnd"/>
      <w:r w:rsidR="003935A8" w:rsidRPr="00436A6B">
        <w:rPr>
          <w:rFonts w:ascii="Arial" w:hAnsi="Arial" w:cs="Arial"/>
        </w:rPr>
        <w:t>» (с изменениями), администрация Советского муниципального округа Ставропольского края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</w:p>
    <w:p w:rsidR="003935A8" w:rsidRPr="00436A6B" w:rsidRDefault="003935A8" w:rsidP="006F4F32">
      <w:pPr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>ПОСТАНОВЛЯЕТ: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1. Утвердить прилагаемые изменения, которые вносятся в </w:t>
      </w:r>
      <w:proofErr w:type="gramStart"/>
      <w:r w:rsidRPr="00436A6B">
        <w:rPr>
          <w:rFonts w:ascii="Arial" w:hAnsi="Arial" w:cs="Arial"/>
        </w:rPr>
        <w:t>муниципальную</w:t>
      </w:r>
      <w:proofErr w:type="gramEnd"/>
      <w:r w:rsidRPr="00436A6B">
        <w:rPr>
          <w:rFonts w:ascii="Arial" w:hAnsi="Arial" w:cs="Arial"/>
        </w:rPr>
        <w:t xml:space="preserve"> </w:t>
      </w:r>
      <w:proofErr w:type="gramStart"/>
      <w:r w:rsidRPr="00436A6B">
        <w:rPr>
          <w:rFonts w:ascii="Arial" w:hAnsi="Arial" w:cs="Arial"/>
        </w:rPr>
        <w:t xml:space="preserve">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 «Об утверждении </w:t>
      </w:r>
      <w:r w:rsidRPr="00436A6B">
        <w:rPr>
          <w:rFonts w:ascii="Arial" w:hAnsi="Arial" w:cs="Arial"/>
        </w:rPr>
        <w:lastRenderedPageBreak/>
        <w:t xml:space="preserve">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 (с изменениями). </w:t>
      </w:r>
      <w:proofErr w:type="gramEnd"/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</w:t>
      </w:r>
      <w:proofErr w:type="gramStart"/>
      <w:r w:rsidRPr="00436A6B">
        <w:rPr>
          <w:rFonts w:ascii="Arial" w:hAnsi="Arial" w:cs="Arial"/>
        </w:rPr>
        <w:t>Интернет-Портале</w:t>
      </w:r>
      <w:proofErr w:type="gramEnd"/>
      <w:r w:rsidRPr="00436A6B">
        <w:rPr>
          <w:rFonts w:ascii="Arial" w:hAnsi="Arial" w:cs="Arial"/>
        </w:rPr>
        <w:t xml:space="preserve"> Советского муниципального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 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4. </w:t>
      </w:r>
      <w:proofErr w:type="gramStart"/>
      <w:r w:rsidRPr="00436A6B">
        <w:rPr>
          <w:rFonts w:ascii="Arial" w:hAnsi="Arial" w:cs="Arial"/>
        </w:rPr>
        <w:t>Контроль за</w:t>
      </w:r>
      <w:proofErr w:type="gramEnd"/>
      <w:r w:rsidRPr="00436A6B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Pr="00436A6B">
        <w:rPr>
          <w:rFonts w:ascii="Arial" w:hAnsi="Arial" w:cs="Arial"/>
        </w:rPr>
        <w:t>Носоченко</w:t>
      </w:r>
      <w:proofErr w:type="spellEnd"/>
      <w:r w:rsidRPr="00436A6B">
        <w:rPr>
          <w:rFonts w:ascii="Arial" w:hAnsi="Arial" w:cs="Arial"/>
        </w:rPr>
        <w:t xml:space="preserve"> Е.А.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436A6B">
        <w:rPr>
          <w:rFonts w:ascii="Arial" w:hAnsi="Arial" w:cs="Arial"/>
        </w:rPr>
        <w:t>с даты</w:t>
      </w:r>
      <w:proofErr w:type="gramEnd"/>
      <w:r w:rsidRPr="00436A6B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</w:p>
    <w:p w:rsidR="003935A8" w:rsidRPr="00436A6B" w:rsidRDefault="003935A8" w:rsidP="00436A6B">
      <w:pPr>
        <w:ind w:firstLine="567"/>
        <w:jc w:val="both"/>
        <w:rPr>
          <w:rFonts w:ascii="Arial" w:hAnsi="Arial" w:cs="Arial"/>
        </w:rPr>
      </w:pPr>
    </w:p>
    <w:p w:rsidR="00F11789" w:rsidRPr="00436A6B" w:rsidRDefault="00F11789" w:rsidP="0087725F">
      <w:pPr>
        <w:jc w:val="right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Заместитель </w:t>
      </w:r>
      <w:r w:rsidR="003935A8" w:rsidRPr="00436A6B">
        <w:rPr>
          <w:rFonts w:ascii="Arial" w:hAnsi="Arial" w:cs="Arial"/>
        </w:rPr>
        <w:t>Глав</w:t>
      </w:r>
      <w:r w:rsidRPr="00436A6B">
        <w:rPr>
          <w:rFonts w:ascii="Arial" w:hAnsi="Arial" w:cs="Arial"/>
        </w:rPr>
        <w:t>ы администрации</w:t>
      </w:r>
      <w:r w:rsidR="003935A8" w:rsidRPr="00436A6B">
        <w:rPr>
          <w:rFonts w:ascii="Arial" w:hAnsi="Arial" w:cs="Arial"/>
        </w:rPr>
        <w:t xml:space="preserve"> </w:t>
      </w:r>
    </w:p>
    <w:p w:rsidR="00F11789" w:rsidRPr="00436A6B" w:rsidRDefault="003935A8" w:rsidP="0087725F">
      <w:pPr>
        <w:jc w:val="right"/>
        <w:rPr>
          <w:rFonts w:ascii="Arial" w:hAnsi="Arial" w:cs="Arial"/>
        </w:rPr>
      </w:pPr>
      <w:r w:rsidRPr="00436A6B">
        <w:rPr>
          <w:rFonts w:ascii="Arial" w:hAnsi="Arial" w:cs="Arial"/>
        </w:rPr>
        <w:t>Советского</w:t>
      </w:r>
      <w:r w:rsidR="00A12D62" w:rsidRPr="00436A6B">
        <w:rPr>
          <w:rFonts w:ascii="Arial" w:hAnsi="Arial" w:cs="Arial"/>
        </w:rPr>
        <w:t xml:space="preserve"> </w:t>
      </w:r>
      <w:r w:rsidRPr="00436A6B">
        <w:rPr>
          <w:rFonts w:ascii="Arial" w:hAnsi="Arial" w:cs="Arial"/>
        </w:rPr>
        <w:t xml:space="preserve">муниципального округа </w:t>
      </w:r>
    </w:p>
    <w:p w:rsidR="0087725F" w:rsidRDefault="003935A8" w:rsidP="0087725F">
      <w:pPr>
        <w:jc w:val="right"/>
        <w:rPr>
          <w:rFonts w:ascii="Arial" w:hAnsi="Arial" w:cs="Arial"/>
        </w:rPr>
      </w:pPr>
      <w:r w:rsidRPr="00436A6B">
        <w:rPr>
          <w:rFonts w:ascii="Arial" w:hAnsi="Arial" w:cs="Arial"/>
        </w:rPr>
        <w:t>Ставропольского края</w:t>
      </w:r>
      <w:r w:rsidR="00CC7750" w:rsidRPr="00436A6B">
        <w:rPr>
          <w:rFonts w:ascii="Arial" w:hAnsi="Arial" w:cs="Arial"/>
        </w:rPr>
        <w:t xml:space="preserve"> </w:t>
      </w:r>
    </w:p>
    <w:p w:rsidR="003935A8" w:rsidRPr="00436A6B" w:rsidRDefault="0087725F" w:rsidP="008772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В.И.</w:t>
      </w:r>
      <w:r w:rsidRPr="00436A6B">
        <w:rPr>
          <w:rFonts w:ascii="Arial" w:hAnsi="Arial" w:cs="Arial"/>
        </w:rPr>
        <w:t>НЕДОЛУГА</w:t>
      </w:r>
    </w:p>
    <w:p w:rsidR="00A12D62" w:rsidRPr="00436A6B" w:rsidRDefault="00A12D62" w:rsidP="00436A6B">
      <w:pPr>
        <w:jc w:val="both"/>
        <w:rPr>
          <w:rFonts w:ascii="Arial" w:hAnsi="Arial" w:cs="Arial"/>
        </w:rPr>
      </w:pPr>
    </w:p>
    <w:p w:rsidR="00A12D62" w:rsidRPr="00436A6B" w:rsidRDefault="00A12D62" w:rsidP="00436A6B">
      <w:pPr>
        <w:jc w:val="both"/>
        <w:rPr>
          <w:rFonts w:ascii="Arial" w:hAnsi="Arial" w:cs="Arial"/>
        </w:rPr>
      </w:pPr>
    </w:p>
    <w:p w:rsidR="00D84070" w:rsidRPr="00D84070" w:rsidRDefault="00D84070" w:rsidP="00D84070">
      <w:pPr>
        <w:jc w:val="right"/>
        <w:rPr>
          <w:rFonts w:ascii="Arial" w:hAnsi="Arial" w:cs="Arial"/>
          <w:b/>
          <w:sz w:val="32"/>
          <w:szCs w:val="32"/>
        </w:rPr>
      </w:pPr>
      <w:r w:rsidRPr="00D84070">
        <w:rPr>
          <w:rFonts w:ascii="Arial" w:hAnsi="Arial" w:cs="Arial"/>
          <w:b/>
          <w:sz w:val="32"/>
          <w:szCs w:val="32"/>
        </w:rPr>
        <w:t>УТВЕРЖДЕНЫ</w:t>
      </w:r>
    </w:p>
    <w:p w:rsidR="00D84070" w:rsidRPr="00D84070" w:rsidRDefault="00D84070" w:rsidP="00D84070">
      <w:pPr>
        <w:jc w:val="right"/>
        <w:rPr>
          <w:rFonts w:ascii="Arial" w:hAnsi="Arial" w:cs="Arial"/>
          <w:b/>
          <w:sz w:val="32"/>
          <w:szCs w:val="32"/>
        </w:rPr>
      </w:pPr>
      <w:r w:rsidRPr="00D84070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D84070" w:rsidRPr="00D84070" w:rsidRDefault="00D84070" w:rsidP="00D84070">
      <w:pPr>
        <w:tabs>
          <w:tab w:val="left" w:pos="4944"/>
        </w:tabs>
        <w:ind w:left="-108"/>
        <w:jc w:val="right"/>
        <w:rPr>
          <w:rFonts w:ascii="Arial" w:hAnsi="Arial" w:cs="Arial"/>
          <w:b/>
          <w:sz w:val="32"/>
          <w:szCs w:val="32"/>
        </w:rPr>
      </w:pPr>
      <w:r w:rsidRPr="00D84070">
        <w:rPr>
          <w:rFonts w:ascii="Arial" w:hAnsi="Arial" w:cs="Arial"/>
          <w:b/>
          <w:sz w:val="32"/>
          <w:szCs w:val="32"/>
        </w:rPr>
        <w:t>от 26 марта 2024 г. № 330</w:t>
      </w:r>
    </w:p>
    <w:p w:rsidR="003935A8" w:rsidRPr="00436A6B" w:rsidRDefault="00CC7750" w:rsidP="00436A6B">
      <w:pPr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 xml:space="preserve"> </w:t>
      </w:r>
    </w:p>
    <w:p w:rsidR="003935A8" w:rsidRPr="00436A6B" w:rsidRDefault="003935A8" w:rsidP="00436A6B">
      <w:pPr>
        <w:jc w:val="both"/>
        <w:rPr>
          <w:rFonts w:ascii="Arial" w:hAnsi="Arial" w:cs="Arial"/>
        </w:rPr>
      </w:pPr>
    </w:p>
    <w:p w:rsidR="003935A8" w:rsidRPr="00D84070" w:rsidRDefault="00D84070" w:rsidP="00D84070">
      <w:pPr>
        <w:jc w:val="center"/>
        <w:rPr>
          <w:rFonts w:ascii="Arial" w:hAnsi="Arial" w:cs="Arial"/>
          <w:b/>
          <w:sz w:val="32"/>
          <w:szCs w:val="32"/>
        </w:rPr>
      </w:pPr>
      <w:r w:rsidRPr="00D84070">
        <w:rPr>
          <w:rFonts w:ascii="Arial" w:hAnsi="Arial" w:cs="Arial"/>
          <w:b/>
          <w:sz w:val="32"/>
          <w:szCs w:val="32"/>
        </w:rPr>
        <w:t>ИЗМЕНЕНИЯ,</w:t>
      </w:r>
    </w:p>
    <w:p w:rsidR="003935A8" w:rsidRPr="00D84070" w:rsidRDefault="00D84070" w:rsidP="00D8407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84070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 (С ИЗМЕНЕНИЯМИ)</w:t>
      </w:r>
      <w:proofErr w:type="gramEnd"/>
    </w:p>
    <w:p w:rsidR="003935A8" w:rsidRDefault="003935A8" w:rsidP="00436A6B">
      <w:pPr>
        <w:jc w:val="both"/>
        <w:rPr>
          <w:rFonts w:ascii="Arial" w:hAnsi="Arial" w:cs="Arial"/>
        </w:rPr>
      </w:pPr>
    </w:p>
    <w:p w:rsidR="00D84070" w:rsidRPr="00436A6B" w:rsidRDefault="00D84070" w:rsidP="00436A6B">
      <w:pPr>
        <w:jc w:val="both"/>
        <w:rPr>
          <w:rFonts w:ascii="Arial" w:hAnsi="Arial" w:cs="Arial"/>
        </w:rPr>
      </w:pPr>
    </w:p>
    <w:p w:rsidR="00AF6A09" w:rsidRPr="00436A6B" w:rsidRDefault="00220557" w:rsidP="00D84070">
      <w:pPr>
        <w:ind w:firstLine="567"/>
        <w:jc w:val="both"/>
        <w:rPr>
          <w:rFonts w:ascii="Arial" w:hAnsi="Arial" w:cs="Arial"/>
        </w:rPr>
        <w:sectPr w:rsidR="00AF6A09" w:rsidRPr="00436A6B" w:rsidSect="00436A6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436A6B">
        <w:rPr>
          <w:rFonts w:ascii="Arial" w:hAnsi="Arial" w:cs="Arial"/>
        </w:rPr>
        <w:lastRenderedPageBreak/>
        <w:t xml:space="preserve">1. </w:t>
      </w:r>
      <w:r w:rsidR="003935A8" w:rsidRPr="00436A6B">
        <w:rPr>
          <w:rFonts w:ascii="Arial" w:hAnsi="Arial" w:cs="Arial"/>
        </w:rPr>
        <w:t xml:space="preserve">Приложение № </w:t>
      </w:r>
      <w:r w:rsidR="00E41A8D" w:rsidRPr="00436A6B">
        <w:rPr>
          <w:rFonts w:ascii="Arial" w:hAnsi="Arial" w:cs="Arial"/>
        </w:rPr>
        <w:t>5</w:t>
      </w:r>
      <w:r w:rsidR="003935A8" w:rsidRPr="00436A6B">
        <w:rPr>
          <w:rFonts w:ascii="Arial" w:hAnsi="Arial" w:cs="Arial"/>
        </w:rPr>
        <w:t xml:space="preserve"> к Программе «</w:t>
      </w:r>
      <w:r w:rsidR="00E41A8D" w:rsidRPr="00436A6B">
        <w:rPr>
          <w:rFonts w:ascii="Arial" w:hAnsi="Arial" w:cs="Arial"/>
        </w:rPr>
        <w:t>СВЕДЕНИЯ об основных мероприятиях подпрограммы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  <w:r w:rsidR="001A0551" w:rsidRPr="00436A6B">
        <w:rPr>
          <w:rFonts w:ascii="Arial" w:hAnsi="Arial" w:cs="Arial"/>
        </w:rPr>
        <w:t xml:space="preserve"> </w:t>
      </w:r>
      <w:r w:rsidR="003935A8" w:rsidRPr="00436A6B">
        <w:rPr>
          <w:rFonts w:ascii="Arial" w:hAnsi="Arial" w:cs="Arial"/>
        </w:rPr>
        <w:t>изложить в следующей редакции:</w:t>
      </w:r>
      <w:r w:rsidR="00CC7750" w:rsidRPr="00436A6B">
        <w:rPr>
          <w:rFonts w:ascii="Arial" w:hAnsi="Arial" w:cs="Arial"/>
        </w:rPr>
        <w:t xml:space="preserve"> </w:t>
      </w:r>
    </w:p>
    <w:tbl>
      <w:tblPr>
        <w:tblStyle w:val="a4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A12D62" w:rsidRPr="00436A6B" w:rsidTr="00932CBC">
        <w:tc>
          <w:tcPr>
            <w:tcW w:w="14175" w:type="dxa"/>
          </w:tcPr>
          <w:p w:rsidR="00FB428F" w:rsidRPr="00FB428F" w:rsidRDefault="00FB428F" w:rsidP="00FB428F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B428F">
              <w:rPr>
                <w:rFonts w:ascii="Arial" w:hAnsi="Arial" w:cs="Arial"/>
                <w:b/>
                <w:sz w:val="32"/>
                <w:szCs w:val="32"/>
                <w:lang w:val="ru-RU"/>
              </w:rPr>
              <w:lastRenderedPageBreak/>
              <w:t>«Приложение № 5</w:t>
            </w:r>
          </w:p>
          <w:p w:rsidR="00FB428F" w:rsidRPr="00FB428F" w:rsidRDefault="00FB428F" w:rsidP="00FB428F">
            <w:pPr>
              <w:tabs>
                <w:tab w:val="left" w:pos="6932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 w:bidi="ar-SA"/>
              </w:rPr>
            </w:pPr>
            <w:r w:rsidRPr="00FB428F">
              <w:rPr>
                <w:rFonts w:ascii="Arial" w:hAnsi="Arial" w:cs="Arial"/>
                <w:b/>
                <w:sz w:val="32"/>
                <w:szCs w:val="32"/>
                <w:lang w:val="ru-RU"/>
              </w:rPr>
              <w:t>к муниципальной программе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      </w:r>
          </w:p>
          <w:p w:rsidR="00A12D62" w:rsidRPr="00020C78" w:rsidRDefault="00A12D62" w:rsidP="00436A6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Pr="00020C78" w:rsidRDefault="00A12D62" w:rsidP="00436A6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Pr="00FB428F" w:rsidRDefault="00FB428F" w:rsidP="00FB428F">
            <w:pPr>
              <w:ind w:left="1310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B428F">
              <w:rPr>
                <w:rFonts w:ascii="Arial" w:hAnsi="Arial" w:cs="Arial"/>
                <w:b/>
                <w:sz w:val="32"/>
                <w:szCs w:val="32"/>
                <w:lang w:val="ru-RU"/>
              </w:rPr>
              <w:t>СВЕДЕНИЯ</w:t>
            </w:r>
          </w:p>
          <w:p w:rsidR="00A12D62" w:rsidRPr="00FB428F" w:rsidRDefault="00FB428F" w:rsidP="00FB428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B428F">
              <w:rPr>
                <w:rFonts w:ascii="Arial" w:hAnsi="Arial" w:cs="Arial"/>
                <w:b/>
                <w:sz w:val="32"/>
                <w:szCs w:val="32"/>
                <w:lang w:val="ru-RU"/>
              </w:rPr>
              <w:t>ОБ ОСНОВНЫХ МЕРОПРИЯТИЯХ ПОДПРОГРАММЫ МУНИЦИПАЛЬНОЙ ПРОГРАММЫ СОВЕТСКОГО МУНИЦИПАЛЬНОГО ОКРУГА СТАВРОПОЛЬСКОГО КРАЯ «РАЗВИТИЕ ДОРОЖНОГО ХОЗЯЙСТВА И ПОВЫШЕНИЕ</w:t>
            </w:r>
            <w:r w:rsidR="002E17EA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Pr="00FB428F">
              <w:rPr>
                <w:rFonts w:ascii="Arial" w:hAnsi="Arial" w:cs="Arial"/>
                <w:b/>
                <w:sz w:val="32"/>
                <w:szCs w:val="32"/>
                <w:lang w:val="ru-RU"/>
              </w:rPr>
              <w:t>БЕЗОПАСНОСТИ ДОРОЖНОГО ДВИЖЕНИЯ В СОВЕТСКОМ МУНИЦИПАЛЬНОМ ОКРУГЕ СТАВРОПОЛЬСКОГО КРАЯ»</w:t>
            </w:r>
          </w:p>
          <w:p w:rsidR="00A12D62" w:rsidRDefault="00A12D62" w:rsidP="00436A6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73C32" w:rsidRPr="00020C78" w:rsidRDefault="00A73C32" w:rsidP="00A73C32">
            <w:pPr>
              <w:tabs>
                <w:tab w:val="left" w:pos="14067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A12D62" w:rsidRDefault="00A12D62" w:rsidP="002E17EA">
            <w:pPr>
              <w:ind w:left="176" w:firstLine="142"/>
              <w:jc w:val="both"/>
              <w:rPr>
                <w:rFonts w:ascii="Arial" w:hAnsi="Arial" w:cs="Arial"/>
                <w:lang w:val="ru-RU"/>
              </w:rPr>
            </w:pPr>
            <w:r w:rsidRPr="00020C78">
              <w:rPr>
                <w:rFonts w:ascii="Arial" w:hAnsi="Arial" w:cs="Arial"/>
                <w:lang w:val="ru-RU"/>
              </w:rPr>
              <w:t>&lt;1</w:t>
            </w:r>
            <w:proofErr w:type="gramStart"/>
            <w:r w:rsidRPr="00020C78">
              <w:rPr>
                <w:rFonts w:ascii="Arial" w:hAnsi="Arial" w:cs="Arial"/>
                <w:lang w:val="ru-RU"/>
              </w:rPr>
              <w:t>&gt; Д</w:t>
            </w:r>
            <w:proofErr w:type="gramEnd"/>
            <w:r w:rsidRPr="00020C78">
              <w:rPr>
                <w:rFonts w:ascii="Arial" w:hAnsi="Arial" w:cs="Arial"/>
                <w:lang w:val="ru-RU"/>
              </w:rPr>
              <w:t>алее в настоящем Приложении используются сокращения:</w:t>
            </w:r>
            <w:r w:rsidR="00CC7750" w:rsidRPr="00020C78">
              <w:rPr>
                <w:rFonts w:ascii="Arial" w:hAnsi="Arial" w:cs="Arial"/>
                <w:lang w:val="ru-RU"/>
              </w:rPr>
              <w:t xml:space="preserve"> </w:t>
            </w:r>
            <w:r w:rsidRPr="00020C78">
              <w:rPr>
                <w:rFonts w:ascii="Arial" w:hAnsi="Arial" w:cs="Arial"/>
                <w:lang w:val="ru-RU"/>
              </w:rPr>
              <w:t>округ – Советский муниципальный округ Ставропольского края; Программа – муниципальная программа округа «Развитие дорожного хозяйства и повышение безопасности дорожного движения в Советском муниципальном округе</w:t>
            </w:r>
            <w:r w:rsidR="00CC7750" w:rsidRPr="00020C78">
              <w:rPr>
                <w:rFonts w:ascii="Arial" w:hAnsi="Arial" w:cs="Arial"/>
                <w:lang w:val="ru-RU"/>
              </w:rPr>
              <w:t xml:space="preserve"> </w:t>
            </w:r>
            <w:r w:rsidRPr="00020C78">
              <w:rPr>
                <w:rFonts w:ascii="Arial" w:hAnsi="Arial" w:cs="Arial"/>
                <w:lang w:val="ru-RU"/>
              </w:rPr>
              <w:t>Ставропольского края»;</w:t>
            </w:r>
            <w:r w:rsidR="00CC7750" w:rsidRPr="00020C78">
              <w:rPr>
                <w:rFonts w:ascii="Arial" w:hAnsi="Arial" w:cs="Arial"/>
                <w:lang w:val="ru-RU"/>
              </w:rPr>
              <w:t xml:space="preserve"> </w:t>
            </w:r>
            <w:r w:rsidRPr="00020C78">
              <w:rPr>
                <w:rFonts w:ascii="Arial" w:hAnsi="Arial" w:cs="Arial"/>
                <w:lang w:val="ru-RU"/>
              </w:rPr>
              <w:t>автомобильные дороги округа, вне границ населенных пунктов - автомобильные дороги общего пользования местного значения округа,</w:t>
            </w:r>
            <w:r w:rsidR="00CC7750" w:rsidRPr="00020C78">
              <w:rPr>
                <w:rFonts w:ascii="Arial" w:hAnsi="Arial" w:cs="Arial"/>
                <w:lang w:val="ru-RU"/>
              </w:rPr>
              <w:t xml:space="preserve"> </w:t>
            </w:r>
            <w:r w:rsidRPr="00020C78">
              <w:rPr>
                <w:rFonts w:ascii="Arial" w:hAnsi="Arial" w:cs="Arial"/>
                <w:lang w:val="ru-RU"/>
              </w:rPr>
              <w:t xml:space="preserve">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      </w:r>
            <w:proofErr w:type="spellStart"/>
            <w:r w:rsidRPr="00020C78">
              <w:rPr>
                <w:rFonts w:ascii="Arial" w:hAnsi="Arial" w:cs="Arial"/>
                <w:lang w:val="ru-RU"/>
              </w:rPr>
              <w:t>ОГТиМХ</w:t>
            </w:r>
            <w:proofErr w:type="spellEnd"/>
            <w:r w:rsidRPr="00020C78">
              <w:rPr>
                <w:rFonts w:ascii="Arial" w:hAnsi="Arial" w:cs="Arial"/>
                <w:lang w:val="ru-RU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</w:t>
            </w:r>
            <w:proofErr w:type="spellStart"/>
            <w:r w:rsidRPr="00020C78">
              <w:rPr>
                <w:rFonts w:ascii="Arial" w:hAnsi="Arial" w:cs="Arial"/>
                <w:lang w:val="ru-RU"/>
              </w:rPr>
              <w:t>ООБиСР</w:t>
            </w:r>
            <w:proofErr w:type="spellEnd"/>
            <w:r w:rsidRPr="00020C78">
              <w:rPr>
                <w:rFonts w:ascii="Arial" w:hAnsi="Arial" w:cs="Arial"/>
                <w:lang w:val="ru-RU"/>
              </w:rPr>
              <w:t xml:space="preserve"> – отдел общественной безопасности и социального развития</w:t>
            </w:r>
            <w:r w:rsidR="00CC7750" w:rsidRPr="00020C78">
              <w:rPr>
                <w:rFonts w:ascii="Arial" w:hAnsi="Arial" w:cs="Arial"/>
                <w:lang w:val="ru-RU"/>
              </w:rPr>
              <w:t xml:space="preserve"> </w:t>
            </w:r>
            <w:r w:rsidRPr="00020C78">
              <w:rPr>
                <w:rFonts w:ascii="Arial" w:hAnsi="Arial" w:cs="Arial"/>
                <w:lang w:val="ru-RU"/>
              </w:rPr>
              <w:t xml:space="preserve">администрации округа; ТО – территориальные органы администрации округа </w:t>
            </w:r>
          </w:p>
          <w:p w:rsidR="00A73C32" w:rsidRDefault="00A73C32" w:rsidP="002E17EA">
            <w:pPr>
              <w:ind w:left="176" w:firstLine="142"/>
              <w:jc w:val="both"/>
              <w:rPr>
                <w:rFonts w:ascii="Arial" w:hAnsi="Arial" w:cs="Arial"/>
                <w:lang w:val="ru-RU"/>
              </w:rPr>
            </w:pPr>
          </w:p>
          <w:p w:rsidR="00A73C32" w:rsidRPr="00020C78" w:rsidRDefault="00A73C32" w:rsidP="002E17EA">
            <w:pPr>
              <w:ind w:left="176" w:firstLine="142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pPr w:leftFromText="180" w:rightFromText="180" w:vertAnchor="text" w:horzAnchor="margin" w:tblpX="-15" w:tblpY="68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2658"/>
              <w:gridCol w:w="521"/>
              <w:gridCol w:w="1041"/>
              <w:gridCol w:w="129"/>
              <w:gridCol w:w="1042"/>
              <w:gridCol w:w="1171"/>
              <w:gridCol w:w="418"/>
              <w:gridCol w:w="2960"/>
              <w:gridCol w:w="254"/>
              <w:gridCol w:w="3261"/>
            </w:tblGrid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  <w:vMerge w:val="restart"/>
                  <w:vAlign w:val="center"/>
                </w:tcPr>
                <w:p w:rsidR="00A73C32" w:rsidRPr="007F1F72" w:rsidRDefault="00A12D62" w:rsidP="00A73C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A12D62" w:rsidRPr="007F1F72" w:rsidRDefault="00A12D62" w:rsidP="00A73C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58" w:type="dxa"/>
                  <w:vMerge w:val="restart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1562" w:type="dxa"/>
                  <w:gridSpan w:val="2"/>
                  <w:vMerge w:val="restart"/>
                  <w:vAlign w:val="center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Ответственный исполнитель, соисполнитель основного мероприятия Программы</w:t>
                  </w:r>
                </w:p>
              </w:tc>
              <w:tc>
                <w:tcPr>
                  <w:tcW w:w="2760" w:type="dxa"/>
                  <w:gridSpan w:val="4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3214" w:type="dxa"/>
                  <w:gridSpan w:val="2"/>
                  <w:vMerge w:val="restart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Ожидаемый непосредственный результат основного мероприятия программы (краткое описание)</w:t>
                  </w:r>
                </w:p>
              </w:tc>
              <w:tc>
                <w:tcPr>
                  <w:tcW w:w="3261" w:type="dxa"/>
                  <w:vMerge w:val="restart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Связь с целевыми индикаторами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и показателями Программы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D62" w:rsidRPr="007F1F72" w:rsidTr="00FC669D">
              <w:trPr>
                <w:trHeight w:val="720"/>
              </w:trPr>
              <w:tc>
                <w:tcPr>
                  <w:tcW w:w="574" w:type="dxa"/>
                  <w:vMerge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vMerge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gridSpan w:val="2"/>
                  <w:vMerge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начала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3214" w:type="dxa"/>
                  <w:gridSpan w:val="2"/>
                  <w:vMerge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D62" w:rsidRPr="007F1F72" w:rsidTr="00A268D5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8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2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1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8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14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574C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Цель 1. «Улучшение инфраструктуры автомобильных дорог вне границ населенных пунктов</w:t>
                  </w:r>
                </w:p>
                <w:p w:rsidR="00A12D62" w:rsidRPr="007F1F72" w:rsidRDefault="00A12D62" w:rsidP="00574C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Советского муниципального округа Ставропольского края»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безопасности дорожного движения на автомобильных дорогах вне границ населенных пунктов 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Советского муниципального округа Ставропольского края»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574C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Задача 1. «Устранение опасных участков, обеспечение безопасности движения</w:t>
                  </w:r>
                </w:p>
                <w:p w:rsidR="00A12D62" w:rsidRPr="007F1F72" w:rsidRDefault="00A12D62" w:rsidP="00574C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 автомобильных дрогах вне границ населенных пунктов»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 Улучшение условий движения и устранение опасных участков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автомобильных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дорогах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1" w:type="dxa"/>
                  <w:gridSpan w:val="3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округа вне границ населенных пунктов,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не отвечающих нормативным требованиям, к общей протяженности автомобильных дорог округа вне границ населенных пунктов, на 1,8%.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1.1 Подпрограммы «Модернизация, содержание, развитие транспортной инфраструктуры и обеспечение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1477CA">
                  <w:pPr>
                    <w:ind w:right="2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Задача 2. «Развитие дорожной инфраструктуры автомобильных дорог вне границ населенных пунктов</w:t>
                  </w:r>
                </w:p>
                <w:p w:rsidR="00A12D62" w:rsidRPr="007F1F72" w:rsidRDefault="00A12D62" w:rsidP="001477CA">
                  <w:pPr>
                    <w:ind w:right="2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и улично-дорожной сети округа»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58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автомобильных дорог, вне границ населенных пунктов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ремонт: устройство асфальтобетонного покрытия, обустройство пешеходных переходов, устройство светофорных объектов;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содержание: ямочный 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(без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добавления нового материала) </w:t>
                  </w:r>
                </w:p>
              </w:tc>
              <w:tc>
                <w:tcPr>
                  <w:tcW w:w="1691" w:type="dxa"/>
                  <w:gridSpan w:val="3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вне границ населенных пунктов,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не отвечающих нормативным требованиям, к общей протяженности автомобильных дорог вне границ населенных пунктов, на 1,8%.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светофорных объектов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 автомобильных дорогах округа вне границ населенных пунктов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 ед.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1.1, 2.1, 1.2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658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Изготовление технических паспортов на автомобильные дороги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пунктов, выполнение (внесение изменений) проектов организации дорожного движения (далее – ПДД) на автомобильные дороги вне границ населенных пунктов</w:t>
                  </w:r>
                </w:p>
              </w:tc>
              <w:tc>
                <w:tcPr>
                  <w:tcW w:w="1691" w:type="dxa"/>
                  <w:gridSpan w:val="3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технических паспортов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автомобильные дороги вне границ населенных пунктов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 шт.;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проектов организации дорожного движения на автомобильные дороги округа вне границ населенных пунктов на 8 шт.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1.1,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      </w:r>
                  <w:r w:rsidR="00F11789" w:rsidRPr="007F1F72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58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Развитие дорожной инфраструктуры: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-реконструкция автомобильного моста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 автомобильной дороге «Горькая Балка - Отказное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примыкание к автомобильной дороге «Кочубей - Зеленокумск – Минводы»</w:t>
                  </w:r>
                </w:p>
              </w:tc>
              <w:tc>
                <w:tcPr>
                  <w:tcW w:w="1691" w:type="dxa"/>
                  <w:gridSpan w:val="3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количества </w:t>
                  </w:r>
                  <w:proofErr w:type="gram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реконструируемых</w:t>
                  </w:r>
                  <w:proofErr w:type="gramEnd"/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искусственных дорожных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сооружений, расположенных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автомобильных дорогах вне границ населенных пунктов на 3,4%.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462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832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Цель 2. «Повышение безопасности дорожного движения на территории Советского муниципального округа Ставропольского края»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 улично-дорожной сети Советского муниципального округа Ставропольского края»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Задача 1. «Расширение сети пешеходных дорожек и тротуаров округа»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58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Модернизация – повышение уровня благоустройства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округа: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строительство и ремонт пешеходных дорожек;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ремонт автомобильных дорог общего пользования местного значения (реализация инициативных проектов)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gridSpan w:val="3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увеличение протяженности дорог улично-дорожной сети, соответствующей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нормативным требованиям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Подпрограммы «Модернизация 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832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Цель 3.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Подпрограмма «Ремонт и содержание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832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Задача 1.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«Улучшение условий движения и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устранение опасных участков, обеспечивающих безопасность</w:t>
                  </w:r>
                </w:p>
                <w:p w:rsidR="00A12D62" w:rsidRPr="007F1F72" w:rsidRDefault="00A12D62" w:rsidP="00832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движения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округа»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улично-дорожной сети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(ежегодно в среднем на 1,2 %)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1.1, 1.2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Подпрограммы «Ремонт и содержание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Содержание и обслуживание улично-дорожной сети 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на 7,9 %.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Подпрограммы «Ремонт и содержание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назначения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улучшение потребительских свойств автомобильных дорог;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доведение доли автомобильных дорог, соответствующих нормативным требованиям, в общей протяженности автомобильных дорог общего пользования до 39,03%;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прирост протяженности автомобильных дорог общего пользования местного значения, соответствующих нормативным требованиям, в результате проведения капитального ремонта и (или) ремонта автомобильных дорог общего пользования местного значения на 13,311 км в 2024 году,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 9,218 км в 2025 году,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на 0,885 км в 2026 году.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Подпрограммы «Ремонт и содержание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 Ставропольского края» приложения № 6 к Программе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832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Подпрограмма «Обеспечение безопасности дорожного движения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Ставропольского края»</w:t>
                  </w:r>
                </w:p>
              </w:tc>
            </w:tr>
            <w:tr w:rsidR="00A12D62" w:rsidRPr="007F1F72" w:rsidTr="00FC669D">
              <w:trPr>
                <w:trHeight w:val="72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ED7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Задача 1. «Проведение активной профилактической работы с участниками дорожного движения</w:t>
                  </w:r>
                </w:p>
                <w:p w:rsidR="00A12D62" w:rsidRPr="007F1F72" w:rsidRDefault="00A12D62" w:rsidP="00ED7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Профилактика детского дорожно-транспортного травматизма 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- 1 районный смотр-конкурс среди учащихся образовательных учреждений Советского муниципального округа «Законы дорог уважай», ежегодно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1.1, 1.2, 1.3, 1.4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Подпрограммы «Обеспечение безопасности дорожного движения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Проведение районных смотров-конкурсов среди учащихся образовательных учреждений Советского муниципального округа «Законы дорог уважай»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Советского муниципального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округа «Законы дорог уважай», ежегодно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1.2, Подпрограммы «Обеспечение безопасности дорожного движения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Приобретение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наглядных пособий (дисков, </w:t>
                  </w: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наглядных пособий (дисков, </w:t>
                  </w: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1.1, Подпрограммы «Обеспечение безопасности дорожного движения на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муниципального округа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Устройство площадки для обучения детей правилам дорожного движения.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CC7750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2D62" w:rsidRPr="007F1F72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1.3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Подпрограммы «Обеспечение безопасности дорожного движения на улично-дорожной сети Советского </w:t>
                  </w:r>
                  <w:r w:rsidR="00561C41" w:rsidRPr="007F1F72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униципального округа</w:t>
                  </w:r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14029" w:type="dxa"/>
                  <w:gridSpan w:val="11"/>
                </w:tcPr>
                <w:p w:rsidR="00A12D62" w:rsidRPr="007F1F72" w:rsidRDefault="00A12D62" w:rsidP="00ED7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A12D62" w:rsidRPr="007F1F72" w:rsidTr="00FC669D">
              <w:trPr>
                <w:trHeight w:val="240"/>
              </w:trPr>
              <w:tc>
                <w:tcPr>
                  <w:tcW w:w="574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79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Обеспечение доступности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информации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 повышению безопасности дорожного движения, в том числе: подготовка и публикация материалов по безопасности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1170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171" w:type="dxa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378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- увеличение публикаций материалов по безопасности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3515" w:type="dxa"/>
                  <w:gridSpan w:val="2"/>
                </w:tcPr>
                <w:p w:rsidR="00A12D62" w:rsidRPr="007F1F72" w:rsidRDefault="00A12D62" w:rsidP="00436A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Показатель 1.4</w:t>
                  </w:r>
                  <w:r w:rsidR="00CC7750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Подпрограммы «Обеспечение безопасности дорожного движения на улично-дорожной сети Советского </w:t>
                  </w:r>
                  <w:r w:rsidR="00F11789" w:rsidRPr="007F1F72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  <w:r w:rsidR="00561C41" w:rsidRPr="007F1F7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Ставропольского края» приложения № 6 к Программе</w:t>
                  </w:r>
                  <w:proofErr w:type="gramStart"/>
                  <w:r w:rsidRPr="007F1F72">
                    <w:rPr>
                      <w:rFonts w:ascii="Arial" w:hAnsi="Arial" w:cs="Arial"/>
                      <w:sz w:val="20"/>
                      <w:szCs w:val="20"/>
                    </w:rPr>
                    <w:t>.».</w:t>
                  </w:r>
                  <w:proofErr w:type="gramEnd"/>
                </w:p>
              </w:tc>
            </w:tr>
          </w:tbl>
          <w:p w:rsidR="00A12D62" w:rsidRPr="00020C78" w:rsidRDefault="00A12D62" w:rsidP="00436A6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Pr="00020C78" w:rsidRDefault="00A12D62" w:rsidP="00436A6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12D62" w:rsidRDefault="00A12D62" w:rsidP="00076419">
            <w:pPr>
              <w:ind w:left="318" w:firstLine="567"/>
              <w:jc w:val="both"/>
              <w:rPr>
                <w:rFonts w:ascii="Arial" w:hAnsi="Arial" w:cs="Arial"/>
                <w:lang w:val="ru-RU"/>
              </w:rPr>
            </w:pPr>
            <w:r w:rsidRPr="00020C78">
              <w:rPr>
                <w:rFonts w:ascii="Arial" w:hAnsi="Arial" w:cs="Arial"/>
                <w:lang w:val="ru-RU"/>
              </w:rPr>
              <w:t xml:space="preserve">2. </w:t>
            </w:r>
            <w:proofErr w:type="gramStart"/>
            <w:r w:rsidRPr="00020C78">
              <w:rPr>
                <w:rFonts w:ascii="Arial" w:hAnsi="Arial" w:cs="Arial"/>
                <w:lang w:val="ru-RU"/>
              </w:rPr>
              <w:t>Приложение № 10 к Программе «РЕСУРСНОЕ ОБЕСПЕЧЕНИЕ И ПРОГНОЗНАЯ (СПРАВОЧНАЯ) ОЦЕНКА расходов бюджета Советского муниципального округа Ставропольского края и иных участников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муниципального округе Ставропольского края» на реализацию целей муниципальной программы» изложить в следующей редакции:</w:t>
            </w:r>
            <w:proofErr w:type="gramEnd"/>
          </w:p>
          <w:p w:rsidR="00076419" w:rsidRDefault="00076419" w:rsidP="00076419">
            <w:pPr>
              <w:ind w:left="318" w:firstLine="567"/>
              <w:jc w:val="both"/>
              <w:rPr>
                <w:rFonts w:ascii="Arial" w:hAnsi="Arial" w:cs="Arial"/>
                <w:lang w:val="ru-RU"/>
              </w:rPr>
            </w:pPr>
          </w:p>
          <w:p w:rsidR="00076419" w:rsidRPr="00020C78" w:rsidRDefault="00076419" w:rsidP="00076419">
            <w:pPr>
              <w:ind w:left="318" w:firstLine="567"/>
              <w:jc w:val="both"/>
              <w:rPr>
                <w:rFonts w:ascii="Arial" w:hAnsi="Arial" w:cs="Arial"/>
                <w:lang w:val="ru-RU"/>
              </w:rPr>
            </w:pPr>
          </w:p>
          <w:p w:rsidR="00A12D62" w:rsidRPr="00020C78" w:rsidRDefault="00A12D62" w:rsidP="00436A6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03B92" w:rsidRPr="00076419" w:rsidRDefault="00F03B92" w:rsidP="00076419">
      <w:pPr>
        <w:jc w:val="right"/>
        <w:rPr>
          <w:rFonts w:ascii="Arial" w:hAnsi="Arial" w:cs="Arial"/>
          <w:b/>
          <w:sz w:val="32"/>
          <w:szCs w:val="32"/>
        </w:rPr>
      </w:pPr>
      <w:r w:rsidRPr="00076419">
        <w:rPr>
          <w:rFonts w:ascii="Arial" w:hAnsi="Arial" w:cs="Arial"/>
          <w:b/>
          <w:sz w:val="32"/>
          <w:szCs w:val="32"/>
        </w:rPr>
        <w:lastRenderedPageBreak/>
        <w:t>«Приложение № 10</w:t>
      </w:r>
    </w:p>
    <w:p w:rsidR="00F03B92" w:rsidRPr="00076419" w:rsidRDefault="00F03B92" w:rsidP="00076419">
      <w:pPr>
        <w:jc w:val="right"/>
        <w:rPr>
          <w:rFonts w:ascii="Arial" w:hAnsi="Arial" w:cs="Arial"/>
          <w:b/>
          <w:sz w:val="32"/>
          <w:szCs w:val="32"/>
        </w:rPr>
      </w:pPr>
      <w:r w:rsidRPr="00076419">
        <w:rPr>
          <w:rFonts w:ascii="Arial" w:hAnsi="Arial" w:cs="Arial"/>
          <w:b/>
          <w:sz w:val="32"/>
          <w:szCs w:val="32"/>
        </w:rPr>
        <w:t xml:space="preserve"> к муниципальной программе</w:t>
      </w:r>
    </w:p>
    <w:p w:rsidR="00F03B92" w:rsidRPr="00076419" w:rsidRDefault="00F03B92" w:rsidP="00076419">
      <w:pPr>
        <w:jc w:val="right"/>
        <w:rPr>
          <w:rFonts w:ascii="Arial" w:hAnsi="Arial" w:cs="Arial"/>
          <w:b/>
          <w:sz w:val="32"/>
          <w:szCs w:val="32"/>
        </w:rPr>
      </w:pPr>
      <w:r w:rsidRPr="00076419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F03B92" w:rsidRPr="00076419" w:rsidRDefault="00F03B92" w:rsidP="00076419">
      <w:pPr>
        <w:jc w:val="right"/>
        <w:rPr>
          <w:rFonts w:ascii="Arial" w:hAnsi="Arial" w:cs="Arial"/>
          <w:b/>
          <w:sz w:val="32"/>
          <w:szCs w:val="32"/>
        </w:rPr>
      </w:pPr>
      <w:r w:rsidRPr="00076419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F03B92" w:rsidRPr="00076419" w:rsidRDefault="00F03B92" w:rsidP="00076419">
      <w:pPr>
        <w:jc w:val="right"/>
        <w:rPr>
          <w:rFonts w:ascii="Arial" w:hAnsi="Arial" w:cs="Arial"/>
          <w:b/>
        </w:rPr>
      </w:pPr>
    </w:p>
    <w:p w:rsidR="00F03B92" w:rsidRPr="00436A6B" w:rsidRDefault="00F03B92" w:rsidP="00436A6B">
      <w:pPr>
        <w:jc w:val="both"/>
        <w:rPr>
          <w:rFonts w:ascii="Arial" w:hAnsi="Arial" w:cs="Arial"/>
        </w:rPr>
      </w:pPr>
    </w:p>
    <w:p w:rsidR="00AF6A09" w:rsidRPr="00076419" w:rsidRDefault="00076419" w:rsidP="00076419">
      <w:pPr>
        <w:jc w:val="center"/>
        <w:rPr>
          <w:rFonts w:ascii="Arial" w:hAnsi="Arial" w:cs="Arial"/>
          <w:b/>
          <w:sz w:val="32"/>
          <w:szCs w:val="32"/>
        </w:rPr>
      </w:pPr>
      <w:r w:rsidRPr="00076419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AF6A09" w:rsidRPr="00436A6B" w:rsidRDefault="00076419" w:rsidP="00076419">
      <w:pPr>
        <w:jc w:val="center"/>
        <w:rPr>
          <w:rFonts w:ascii="Arial" w:hAnsi="Arial" w:cs="Arial"/>
        </w:rPr>
      </w:pPr>
      <w:r w:rsidRPr="00076419">
        <w:rPr>
          <w:rFonts w:ascii="Arial" w:hAnsi="Arial" w:cs="Arial"/>
          <w:b/>
          <w:sz w:val="32"/>
          <w:szCs w:val="32"/>
        </w:rPr>
        <w:t>РАСХОДОВ БЮДЖЕТА СОВЕТСКОГО МУНИЦИПАЛЬНОГО ОКРУГА СТАВРОПОЛЬСКОГО КРАЯ И ИНЫХ УЧАСТНИКОВ ПРОГРАММЫ</w:t>
      </w:r>
      <w:r w:rsidR="00576F25">
        <w:rPr>
          <w:rFonts w:ascii="Arial" w:hAnsi="Arial" w:cs="Arial"/>
          <w:b/>
          <w:sz w:val="32"/>
          <w:szCs w:val="32"/>
        </w:rPr>
        <w:t xml:space="preserve"> </w:t>
      </w:r>
      <w:r w:rsidRPr="00076419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 НА РЕАЛИЗАЦИЮ ЦЕЛЕЙ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6419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AF6A09" w:rsidRDefault="00AF6A09" w:rsidP="00436A6B">
      <w:pPr>
        <w:jc w:val="both"/>
        <w:rPr>
          <w:rFonts w:ascii="Arial" w:hAnsi="Arial" w:cs="Arial"/>
        </w:rPr>
      </w:pPr>
    </w:p>
    <w:p w:rsidR="00076419" w:rsidRPr="00436A6B" w:rsidRDefault="00076419" w:rsidP="00436A6B">
      <w:pPr>
        <w:jc w:val="both"/>
        <w:rPr>
          <w:rFonts w:ascii="Arial" w:hAnsi="Arial" w:cs="Arial"/>
        </w:rPr>
      </w:pPr>
    </w:p>
    <w:p w:rsidR="00AF6A09" w:rsidRPr="00436A6B" w:rsidRDefault="00AF6A09" w:rsidP="00076419">
      <w:pPr>
        <w:ind w:firstLine="567"/>
        <w:jc w:val="both"/>
        <w:rPr>
          <w:rFonts w:ascii="Arial" w:hAnsi="Arial" w:cs="Arial"/>
        </w:rPr>
      </w:pPr>
      <w:r w:rsidRPr="00436A6B">
        <w:rPr>
          <w:rFonts w:ascii="Arial" w:hAnsi="Arial" w:cs="Arial"/>
        </w:rPr>
        <w:t>&lt;1</w:t>
      </w:r>
      <w:proofErr w:type="gramStart"/>
      <w:r w:rsidRPr="00436A6B">
        <w:rPr>
          <w:rFonts w:ascii="Arial" w:hAnsi="Arial" w:cs="Arial"/>
        </w:rPr>
        <w:t>&gt; Д</w:t>
      </w:r>
      <w:proofErr w:type="gramEnd"/>
      <w:r w:rsidRPr="00436A6B">
        <w:rPr>
          <w:rFonts w:ascii="Arial" w:hAnsi="Arial" w:cs="Arial"/>
        </w:rPr>
        <w:t>алее в настоящем Приложении используются сокращения: округ – Советский муниципальный округ Ставропольского края; Программа – муниципальная программа округа «Развитие дорожного хозяйства и повышение безопасности дорожного движения в Советском муниципальном округе 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AF6A09" w:rsidRDefault="00AF6A09" w:rsidP="00436A6B">
      <w:pPr>
        <w:jc w:val="both"/>
        <w:rPr>
          <w:rFonts w:ascii="Arial" w:hAnsi="Arial" w:cs="Arial"/>
        </w:rPr>
      </w:pPr>
    </w:p>
    <w:p w:rsidR="00076419" w:rsidRPr="00436A6B" w:rsidRDefault="00076419" w:rsidP="00436A6B">
      <w:pPr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559"/>
        <w:gridCol w:w="1418"/>
        <w:gridCol w:w="1417"/>
        <w:gridCol w:w="1272"/>
        <w:gridCol w:w="1279"/>
        <w:gridCol w:w="1276"/>
        <w:gridCol w:w="1134"/>
      </w:tblGrid>
      <w:tr w:rsidR="00F03B92" w:rsidRPr="007F1F72" w:rsidTr="007F1F72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1F7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1F7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CC7750" w:rsidRPr="007F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1F72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F03B92" w:rsidRPr="007F1F72" w:rsidTr="00576F25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2021-2026г.г.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F03B92" w:rsidRPr="007F1F72" w:rsidTr="00576F25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3B92" w:rsidRPr="007F1F72" w:rsidTr="00576F25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движения в Советском муниципальном округе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649706,76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101866,07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161147,11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114862,04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45284,94</w:t>
            </w:r>
          </w:p>
        </w:tc>
      </w:tr>
      <w:tr w:rsidR="00F03B92" w:rsidRPr="007F1F72" w:rsidTr="00576F25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398512,96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52415,19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53109,43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125726,57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7F1F72" w:rsidTr="00576F25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251352,44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39595,41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48756,64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35420,54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35276,64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31811,28</w:t>
            </w:r>
          </w:p>
        </w:tc>
      </w:tr>
      <w:tr w:rsidR="00F03B92" w:rsidRPr="007F1F72" w:rsidTr="00576F25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7F1F72" w:rsidTr="00576F25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7F1F72" w:rsidTr="00576F25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7F1F72" w:rsidTr="00576F25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F1F72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7F1F72" w:rsidTr="00576F25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7F1F72" w:rsidTr="00576F25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03B92" w:rsidRPr="007F1F72" w:rsidTr="00576F25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7F1F72" w:rsidTr="00576F2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муниципального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Модернизация – повышение уровня благоустройства на улично-дорожной сети округа.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муниципального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557206,05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147960,19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105532,04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35954,94</w:t>
            </w:r>
          </w:p>
        </w:tc>
      </w:tr>
      <w:tr w:rsidR="00F03B92" w:rsidRPr="007F1F72" w:rsidTr="00576F25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386978,50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124010,60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7F1F72" w:rsidTr="00576F25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170386,19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23949,59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25946,64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22481,28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Ремонт и содержание улично-дорожной сети.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557206,05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147960,19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105532,04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35954,94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386978,50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124010,60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170386,19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23949,59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25946,64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22481,28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Содержание и обслуживание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441260,73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53032,47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130696,11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83774,11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14197,01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386978,50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124010,60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79585,40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13473,66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54440,87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20734,92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19456,75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2651,63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6685,51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4188,71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723,35</w:t>
            </w:r>
          </w:p>
        </w:tc>
      </w:tr>
      <w:tr w:rsidR="00F03B92" w:rsidRPr="007F1F72" w:rsidTr="00576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03B92" w:rsidRPr="007F1F72" w:rsidTr="00576F25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CC7750" w:rsidRPr="007F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1F72">
              <w:rPr>
                <w:rFonts w:ascii="Arial" w:hAnsi="Arial" w:cs="Arial"/>
                <w:sz w:val="20"/>
                <w:szCs w:val="20"/>
              </w:rPr>
              <w:t>улично-дорожной сети Советского муниципального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7F1F72" w:rsidTr="00576F25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7F1F72" w:rsidTr="00576F25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7F1F72" w:rsidTr="00576F25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F1F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F1F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7F1F72" w:rsidTr="00576F25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03B92" w:rsidRPr="007F1F72" w:rsidTr="00576F2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2" w:rsidRPr="007F1F72" w:rsidRDefault="00F03B92" w:rsidP="00436A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F72">
              <w:rPr>
                <w:rFonts w:ascii="Arial" w:hAnsi="Arial" w:cs="Arial"/>
                <w:sz w:val="20"/>
                <w:szCs w:val="20"/>
              </w:rPr>
              <w:t>13,00.».</w:t>
            </w:r>
          </w:p>
        </w:tc>
      </w:tr>
    </w:tbl>
    <w:p w:rsidR="00AF6A09" w:rsidRPr="00436A6B" w:rsidRDefault="00AF6A09" w:rsidP="0008390B">
      <w:pPr>
        <w:jc w:val="both"/>
        <w:rPr>
          <w:rFonts w:ascii="Arial" w:hAnsi="Arial" w:cs="Arial"/>
        </w:rPr>
      </w:pPr>
    </w:p>
    <w:sectPr w:rsidR="00AF6A09" w:rsidRPr="00436A6B" w:rsidSect="007F1F72">
      <w:pgSz w:w="16838" w:h="11906" w:orient="landscape"/>
      <w:pgMar w:top="1134" w:right="53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857"/>
    <w:multiLevelType w:val="multilevel"/>
    <w:tmpl w:val="A6B02F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">
    <w:nsid w:val="4A9E65A6"/>
    <w:multiLevelType w:val="hybridMultilevel"/>
    <w:tmpl w:val="9B5A40A8"/>
    <w:lvl w:ilvl="0" w:tplc="39F6F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1D15AA"/>
    <w:multiLevelType w:val="hybridMultilevel"/>
    <w:tmpl w:val="AB5A4496"/>
    <w:lvl w:ilvl="0" w:tplc="F67465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2"/>
    <w:rsid w:val="00020C78"/>
    <w:rsid w:val="00076419"/>
    <w:rsid w:val="0008390B"/>
    <w:rsid w:val="000E1B95"/>
    <w:rsid w:val="000F6EEA"/>
    <w:rsid w:val="001477CA"/>
    <w:rsid w:val="001A0551"/>
    <w:rsid w:val="001E1B3C"/>
    <w:rsid w:val="00220557"/>
    <w:rsid w:val="002E17EA"/>
    <w:rsid w:val="0037799E"/>
    <w:rsid w:val="003935A8"/>
    <w:rsid w:val="00436A6B"/>
    <w:rsid w:val="00465009"/>
    <w:rsid w:val="0047009A"/>
    <w:rsid w:val="00561C41"/>
    <w:rsid w:val="00574CF3"/>
    <w:rsid w:val="00576F25"/>
    <w:rsid w:val="00610497"/>
    <w:rsid w:val="006A6363"/>
    <w:rsid w:val="006B0013"/>
    <w:rsid w:val="006F4F32"/>
    <w:rsid w:val="007143AB"/>
    <w:rsid w:val="007D160E"/>
    <w:rsid w:val="007F1F72"/>
    <w:rsid w:val="00832116"/>
    <w:rsid w:val="0087189E"/>
    <w:rsid w:val="0087725F"/>
    <w:rsid w:val="008D408C"/>
    <w:rsid w:val="008F5D53"/>
    <w:rsid w:val="00932CBC"/>
    <w:rsid w:val="00962CD9"/>
    <w:rsid w:val="00A12D62"/>
    <w:rsid w:val="00A268D5"/>
    <w:rsid w:val="00A615E3"/>
    <w:rsid w:val="00A73C32"/>
    <w:rsid w:val="00AE17C2"/>
    <w:rsid w:val="00AF6A09"/>
    <w:rsid w:val="00BA72FE"/>
    <w:rsid w:val="00BE0731"/>
    <w:rsid w:val="00CA30DB"/>
    <w:rsid w:val="00CC7750"/>
    <w:rsid w:val="00CD5C84"/>
    <w:rsid w:val="00D3764B"/>
    <w:rsid w:val="00D84070"/>
    <w:rsid w:val="00DA54B3"/>
    <w:rsid w:val="00E41A8D"/>
    <w:rsid w:val="00E456C9"/>
    <w:rsid w:val="00EA0704"/>
    <w:rsid w:val="00ED782F"/>
    <w:rsid w:val="00F0396A"/>
    <w:rsid w:val="00F03B92"/>
    <w:rsid w:val="00F11789"/>
    <w:rsid w:val="00F22DF5"/>
    <w:rsid w:val="00F349D0"/>
    <w:rsid w:val="00FB428F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35A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3"/>
    <w:link w:val="00"/>
    <w:qFormat/>
    <w:rsid w:val="003935A8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3935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Текст1"/>
    <w:basedOn w:val="a"/>
    <w:rsid w:val="003935A8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3935A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3935A8"/>
  </w:style>
  <w:style w:type="paragraph" w:styleId="a5">
    <w:name w:val="No Spacing"/>
    <w:basedOn w:val="a"/>
    <w:uiPriority w:val="1"/>
    <w:qFormat/>
    <w:rsid w:val="00AF6A0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20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A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customStyle="1" w:styleId="ConsPlusNonformat">
    <w:name w:val="ConsPlusNonformat"/>
    <w:rsid w:val="00E41A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41A8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s10">
    <w:name w:val="s_10"/>
    <w:basedOn w:val="a0"/>
    <w:rsid w:val="00E4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35A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3"/>
    <w:link w:val="00"/>
    <w:qFormat/>
    <w:rsid w:val="003935A8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3935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Текст1"/>
    <w:basedOn w:val="a"/>
    <w:rsid w:val="003935A8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3935A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3935A8"/>
  </w:style>
  <w:style w:type="paragraph" w:styleId="a5">
    <w:name w:val="No Spacing"/>
    <w:basedOn w:val="a"/>
    <w:uiPriority w:val="1"/>
    <w:qFormat/>
    <w:rsid w:val="00AF6A0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20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A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customStyle="1" w:styleId="ConsPlusNonformat">
    <w:name w:val="ConsPlusNonformat"/>
    <w:rsid w:val="00E41A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41A8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s10">
    <w:name w:val="s_10"/>
    <w:basedOn w:val="a0"/>
    <w:rsid w:val="00E4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DC91-2541-46C9-A270-5B54562E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Марина</cp:lastModifiedBy>
  <cp:revision>24</cp:revision>
  <cp:lastPrinted>2024-03-27T08:47:00Z</cp:lastPrinted>
  <dcterms:created xsi:type="dcterms:W3CDTF">2024-01-29T06:05:00Z</dcterms:created>
  <dcterms:modified xsi:type="dcterms:W3CDTF">2024-04-08T12:28:00Z</dcterms:modified>
</cp:coreProperties>
</file>